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1" w:rsidRPr="00E11782" w:rsidRDefault="00EC6162" w:rsidP="00E1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E11782" w:rsidRPr="00E11782">
        <w:rPr>
          <w:rFonts w:ascii="Times New Roman" w:hAnsi="Times New Roman" w:cs="Times New Roman"/>
          <w:sz w:val="28"/>
          <w:szCs w:val="28"/>
        </w:rPr>
        <w:t>ПЕТРОПАВЛОВСКО</w:t>
      </w:r>
      <w:r>
        <w:rPr>
          <w:rFonts w:ascii="Times New Roman" w:hAnsi="Times New Roman" w:cs="Times New Roman"/>
          <w:sz w:val="28"/>
          <w:szCs w:val="28"/>
        </w:rPr>
        <w:t>ГО СЕЛЬСОВЕТА</w:t>
      </w:r>
      <w:r w:rsidR="00E11782" w:rsidRPr="00E1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82" w:rsidRPr="00E11782" w:rsidRDefault="00E11782" w:rsidP="00E1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782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E11782" w:rsidRPr="00E11782" w:rsidRDefault="00E11782" w:rsidP="00E1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782" w:rsidRPr="00E11782" w:rsidRDefault="00EC6162" w:rsidP="00E11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1782" w:rsidRDefault="00E11782" w:rsidP="00E11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782" w:rsidRDefault="008057D9" w:rsidP="00E11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782">
        <w:rPr>
          <w:rFonts w:ascii="Times New Roman" w:hAnsi="Times New Roman" w:cs="Times New Roman"/>
          <w:sz w:val="28"/>
          <w:szCs w:val="28"/>
        </w:rPr>
        <w:t xml:space="preserve"> декабря 2013г. №  </w:t>
      </w:r>
      <w:r w:rsidR="00FB5FDA">
        <w:rPr>
          <w:rFonts w:ascii="Times New Roman" w:hAnsi="Times New Roman" w:cs="Times New Roman"/>
          <w:sz w:val="28"/>
          <w:szCs w:val="28"/>
        </w:rPr>
        <w:t>116</w:t>
      </w:r>
      <w:r w:rsidR="00E117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5F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1782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E11782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E11782" w:rsidRP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82">
        <w:rPr>
          <w:rFonts w:ascii="Times New Roman" w:hAnsi="Times New Roman" w:cs="Times New Roman"/>
          <w:sz w:val="28"/>
          <w:szCs w:val="28"/>
        </w:rPr>
        <w:t>Об утверждении методики расчета</w:t>
      </w:r>
    </w:p>
    <w:p w:rsidR="00E11782" w:rsidRP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1782">
        <w:rPr>
          <w:rFonts w:ascii="Times New Roman" w:hAnsi="Times New Roman" w:cs="Times New Roman"/>
          <w:sz w:val="28"/>
          <w:szCs w:val="28"/>
        </w:rPr>
        <w:t>рендной платы за  пользование</w:t>
      </w:r>
    </w:p>
    <w:p w:rsidR="00E11782" w:rsidRP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1782">
        <w:rPr>
          <w:rFonts w:ascii="Times New Roman" w:hAnsi="Times New Roman" w:cs="Times New Roman"/>
          <w:sz w:val="28"/>
          <w:szCs w:val="28"/>
        </w:rPr>
        <w:t xml:space="preserve">униципальным имуществом </w:t>
      </w:r>
    </w:p>
    <w:p w:rsidR="00E11782" w:rsidRP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82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782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82">
        <w:rPr>
          <w:rFonts w:ascii="Times New Roman" w:hAnsi="Times New Roman" w:cs="Times New Roman"/>
          <w:sz w:val="28"/>
          <w:szCs w:val="28"/>
        </w:rPr>
        <w:t>Петропавловский сельсовет</w:t>
      </w:r>
    </w:p>
    <w:p w:rsid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782" w:rsidRDefault="00E11782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эффективности использования муниципального имущества, в соответствии с Федеральным законом «Об общих принципах организации местного самоуправления в Российской Федерации» от 06.10.2003г. № 131-ФЗ</w:t>
      </w:r>
      <w:r w:rsidR="008903B6">
        <w:rPr>
          <w:rFonts w:ascii="Times New Roman" w:hAnsi="Times New Roman" w:cs="Times New Roman"/>
          <w:sz w:val="28"/>
          <w:szCs w:val="28"/>
        </w:rPr>
        <w:t xml:space="preserve">, </w:t>
      </w:r>
      <w:r w:rsidR="0080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B6" w:rsidRDefault="008057D9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903B6">
        <w:rPr>
          <w:rFonts w:ascii="Times New Roman" w:hAnsi="Times New Roman" w:cs="Times New Roman"/>
          <w:sz w:val="28"/>
          <w:szCs w:val="28"/>
        </w:rPr>
        <w:t>:</w:t>
      </w:r>
    </w:p>
    <w:p w:rsidR="008903B6" w:rsidRDefault="008903B6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прилагаемую методику определения арендной платы за пользование муниципальным имуществом муниципального образования  Петропавловский сельсовет.</w:t>
      </w:r>
    </w:p>
    <w:p w:rsidR="008B2F66" w:rsidRDefault="008903B6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7D9">
        <w:rPr>
          <w:rFonts w:ascii="Times New Roman" w:hAnsi="Times New Roman" w:cs="Times New Roman"/>
          <w:sz w:val="28"/>
          <w:szCs w:val="28"/>
        </w:rPr>
        <w:t>2</w:t>
      </w:r>
      <w:r w:rsidR="008B2F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9BB">
        <w:rPr>
          <w:rFonts w:ascii="Times New Roman" w:hAnsi="Times New Roman" w:cs="Times New Roman"/>
          <w:sz w:val="28"/>
          <w:szCs w:val="28"/>
        </w:rPr>
        <w:t>К</w:t>
      </w:r>
      <w:r w:rsidR="008B2F6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8B2F6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057D9">
        <w:rPr>
          <w:rFonts w:ascii="Times New Roman" w:hAnsi="Times New Roman" w:cs="Times New Roman"/>
          <w:sz w:val="28"/>
          <w:szCs w:val="28"/>
        </w:rPr>
        <w:t>постановления</w:t>
      </w:r>
      <w:r w:rsidR="008B2F6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057D9">
        <w:rPr>
          <w:rFonts w:ascii="Times New Roman" w:hAnsi="Times New Roman" w:cs="Times New Roman"/>
          <w:sz w:val="28"/>
          <w:szCs w:val="28"/>
        </w:rPr>
        <w:t>землеустроителя Администрации сельсовета А.П.Филина</w:t>
      </w:r>
      <w:r w:rsidR="008B2F66">
        <w:rPr>
          <w:rFonts w:ascii="Times New Roman" w:hAnsi="Times New Roman" w:cs="Times New Roman"/>
          <w:sz w:val="28"/>
          <w:szCs w:val="28"/>
        </w:rPr>
        <w:t>.</w:t>
      </w:r>
    </w:p>
    <w:p w:rsidR="008B2F66" w:rsidRDefault="008B2F66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7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8057D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8057D9" w:rsidRDefault="008057D9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 01.01.2014 года.</w:t>
      </w:r>
    </w:p>
    <w:p w:rsidR="008B2F66" w:rsidRDefault="008B2F66" w:rsidP="00E1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7B4" w:rsidRDefault="006657B4" w:rsidP="00E1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F66" w:rsidRPr="00E11782" w:rsidRDefault="008B2F66" w:rsidP="00E1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В.В.Новичихин</w:t>
      </w:r>
    </w:p>
    <w:p w:rsidR="00E11782" w:rsidRDefault="00E11782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B2F66" w:rsidRDefault="008B2F66" w:rsidP="00E11782">
      <w:pPr>
        <w:pStyle w:val="a3"/>
      </w:pPr>
    </w:p>
    <w:p w:rsidR="008057D9" w:rsidRDefault="008B2F66" w:rsidP="00E11782">
      <w:pPr>
        <w:pStyle w:val="a3"/>
        <w:rPr>
          <w:sz w:val="24"/>
          <w:szCs w:val="24"/>
        </w:rPr>
      </w:pPr>
      <w:r w:rsidRPr="00D529BB">
        <w:rPr>
          <w:sz w:val="24"/>
          <w:szCs w:val="24"/>
        </w:rPr>
        <w:t xml:space="preserve">                                                                                 </w:t>
      </w:r>
    </w:p>
    <w:p w:rsidR="008057D9" w:rsidRDefault="008057D9" w:rsidP="00E11782">
      <w:pPr>
        <w:pStyle w:val="a3"/>
        <w:rPr>
          <w:sz w:val="24"/>
          <w:szCs w:val="24"/>
        </w:rPr>
      </w:pPr>
    </w:p>
    <w:p w:rsidR="008057D9" w:rsidRDefault="008057D9" w:rsidP="00E11782">
      <w:pPr>
        <w:pStyle w:val="a3"/>
        <w:rPr>
          <w:sz w:val="24"/>
          <w:szCs w:val="24"/>
        </w:rPr>
      </w:pPr>
    </w:p>
    <w:p w:rsidR="008B2F66" w:rsidRPr="008057D9" w:rsidRDefault="008057D9" w:rsidP="00E117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8057D9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41579" w:rsidRPr="008057D9" w:rsidRDefault="008B2F66" w:rsidP="00E1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057D9">
        <w:rPr>
          <w:rFonts w:ascii="Times New Roman" w:hAnsi="Times New Roman" w:cs="Times New Roman"/>
          <w:sz w:val="24"/>
          <w:szCs w:val="24"/>
        </w:rPr>
        <w:t xml:space="preserve">Главы Петропавловского </w:t>
      </w:r>
      <w:r w:rsidRPr="008057D9">
        <w:rPr>
          <w:rFonts w:ascii="Times New Roman" w:hAnsi="Times New Roman" w:cs="Times New Roman"/>
          <w:sz w:val="24"/>
          <w:szCs w:val="24"/>
        </w:rPr>
        <w:t>сельс</w:t>
      </w:r>
      <w:r w:rsidR="008057D9">
        <w:rPr>
          <w:rFonts w:ascii="Times New Roman" w:hAnsi="Times New Roman" w:cs="Times New Roman"/>
          <w:sz w:val="24"/>
          <w:szCs w:val="24"/>
        </w:rPr>
        <w:t>овета</w:t>
      </w:r>
      <w:r w:rsidRPr="008057D9">
        <w:rPr>
          <w:rFonts w:ascii="Times New Roman" w:hAnsi="Times New Roman" w:cs="Times New Roman"/>
          <w:sz w:val="24"/>
          <w:szCs w:val="24"/>
        </w:rPr>
        <w:t xml:space="preserve">  </w:t>
      </w:r>
      <w:r w:rsidR="00C41579" w:rsidRPr="00805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CD" w:rsidRPr="008057D9" w:rsidRDefault="00C41579" w:rsidP="00E1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</w:t>
      </w:r>
      <w:r w:rsidR="008057D9">
        <w:rPr>
          <w:rFonts w:ascii="Times New Roman" w:hAnsi="Times New Roman" w:cs="Times New Roman"/>
          <w:sz w:val="24"/>
          <w:szCs w:val="24"/>
        </w:rPr>
        <w:t>10</w:t>
      </w:r>
      <w:r w:rsidRPr="008057D9">
        <w:rPr>
          <w:rFonts w:ascii="Times New Roman" w:hAnsi="Times New Roman" w:cs="Times New Roman"/>
          <w:sz w:val="24"/>
          <w:szCs w:val="24"/>
        </w:rPr>
        <w:t>.12.2014г. №</w:t>
      </w:r>
      <w:r w:rsidR="008B2F66" w:rsidRPr="008057D9">
        <w:rPr>
          <w:rFonts w:ascii="Times New Roman" w:hAnsi="Times New Roman" w:cs="Times New Roman"/>
          <w:sz w:val="24"/>
          <w:szCs w:val="24"/>
        </w:rPr>
        <w:t xml:space="preserve">  </w:t>
      </w:r>
      <w:r w:rsidR="00FB5FDA">
        <w:rPr>
          <w:rFonts w:ascii="Times New Roman" w:hAnsi="Times New Roman" w:cs="Times New Roman"/>
          <w:sz w:val="24"/>
          <w:szCs w:val="24"/>
        </w:rPr>
        <w:t>116</w:t>
      </w:r>
      <w:bookmarkStart w:id="0" w:name="_GoBack"/>
      <w:bookmarkEnd w:id="0"/>
      <w:r w:rsidR="008B2F66" w:rsidRPr="00805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CD" w:rsidRPr="00D529BB" w:rsidRDefault="005767CD" w:rsidP="00E117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F66" w:rsidRPr="00D529BB" w:rsidRDefault="005767CD" w:rsidP="005767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29BB">
        <w:rPr>
          <w:rFonts w:ascii="Times New Roman" w:hAnsi="Times New Roman" w:cs="Times New Roman"/>
          <w:sz w:val="24"/>
          <w:szCs w:val="24"/>
        </w:rPr>
        <w:t>Методика</w:t>
      </w:r>
    </w:p>
    <w:p w:rsidR="005767CD" w:rsidRPr="00D529BB" w:rsidRDefault="005767CD" w:rsidP="005767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29BB">
        <w:rPr>
          <w:rFonts w:ascii="Times New Roman" w:hAnsi="Times New Roman" w:cs="Times New Roman"/>
          <w:sz w:val="24"/>
          <w:szCs w:val="24"/>
        </w:rPr>
        <w:t>определения арендной платы за пользование муниципальным имуществом муниципального образования Петропавловский сельсовет.</w:t>
      </w:r>
    </w:p>
    <w:p w:rsidR="005767CD" w:rsidRPr="00D529BB" w:rsidRDefault="005767CD" w:rsidP="005767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67CD" w:rsidRPr="00D529BB" w:rsidRDefault="005767CD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9BB">
        <w:rPr>
          <w:rFonts w:ascii="Times New Roman" w:hAnsi="Times New Roman" w:cs="Times New Roman"/>
          <w:sz w:val="24"/>
          <w:szCs w:val="24"/>
        </w:rPr>
        <w:t xml:space="preserve">   1. Настоящая методика устанавливает порядок расчетов арендной платы за пользование недвижимыми объектами муниципальной собственности муниципального образования Петропавловский сельсовет (здания, сооружения, строения, нежилые помещения).</w:t>
      </w:r>
    </w:p>
    <w:p w:rsidR="005767CD" w:rsidRDefault="005767CD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9BB">
        <w:rPr>
          <w:rFonts w:ascii="Times New Roman" w:hAnsi="Times New Roman" w:cs="Times New Roman"/>
          <w:sz w:val="24"/>
          <w:szCs w:val="24"/>
        </w:rPr>
        <w:t xml:space="preserve">   2. Годовая арендная плата за объекты муниципальной собственности определя</w:t>
      </w:r>
      <w:r w:rsidR="00D529BB" w:rsidRPr="00D529BB">
        <w:rPr>
          <w:rFonts w:ascii="Times New Roman" w:hAnsi="Times New Roman" w:cs="Times New Roman"/>
          <w:sz w:val="24"/>
          <w:szCs w:val="24"/>
        </w:rPr>
        <w:t>е</w:t>
      </w:r>
      <w:r w:rsidRPr="00D529BB">
        <w:rPr>
          <w:rFonts w:ascii="Times New Roman" w:hAnsi="Times New Roman" w:cs="Times New Roman"/>
          <w:sz w:val="24"/>
          <w:szCs w:val="24"/>
        </w:rPr>
        <w:t>тся путем умножения фактического размера площадей на годовую ставку арендной платы за один квадратный метр площади объектов муниципальной собственности</w:t>
      </w:r>
      <w:r w:rsidR="00D529BB" w:rsidRPr="00D529BB">
        <w:rPr>
          <w:rFonts w:ascii="Times New Roman" w:hAnsi="Times New Roman" w:cs="Times New Roman"/>
          <w:sz w:val="24"/>
          <w:szCs w:val="24"/>
        </w:rPr>
        <w:t xml:space="preserve">, определяемую </w:t>
      </w:r>
      <w:r w:rsidR="00EA68EB">
        <w:rPr>
          <w:rFonts w:ascii="Times New Roman" w:hAnsi="Times New Roman" w:cs="Times New Roman"/>
          <w:sz w:val="24"/>
          <w:szCs w:val="24"/>
        </w:rPr>
        <w:t xml:space="preserve">Администрацией Петропавловского сельсовета </w:t>
      </w:r>
      <w:r w:rsidR="00D529BB" w:rsidRPr="00D529BB">
        <w:rPr>
          <w:rFonts w:ascii="Times New Roman" w:hAnsi="Times New Roman" w:cs="Times New Roman"/>
          <w:sz w:val="24"/>
          <w:szCs w:val="24"/>
        </w:rPr>
        <w:t>согласно настоящей Методике.</w:t>
      </w:r>
    </w:p>
    <w:p w:rsidR="00D529BB" w:rsidRDefault="00D529B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продаже на торгах права на заключение договора аренды на объект муниципальной собственности размер арендной платы устанавливается по итогам проведенных торгов.</w:t>
      </w:r>
    </w:p>
    <w:p w:rsidR="00D529BB" w:rsidRDefault="00D529B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За годовую базовую арендную ставку объекта муниципальной собственности за 1 кв. м. в год принимается сумма, установленная законодательством Российской Федерации о минимальном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(МРОТ), с коэффициентом – 3.</w:t>
      </w:r>
    </w:p>
    <w:p w:rsidR="00D529BB" w:rsidRDefault="00D529B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Расчет годовой арендной платы за пользование</w:t>
      </w:r>
      <w:r w:rsidR="00690894">
        <w:rPr>
          <w:rFonts w:ascii="Times New Roman" w:hAnsi="Times New Roman" w:cs="Times New Roman"/>
          <w:sz w:val="24"/>
          <w:szCs w:val="24"/>
        </w:rPr>
        <w:t xml:space="preserve"> объектом муниципальной собственности производится путем умножения базовой ставки на площадь помещения и корректирующие коэффициенты к базовой ставке по приведенной ниже формуле:</w:t>
      </w:r>
    </w:p>
    <w:p w:rsidR="00690894" w:rsidRDefault="00690894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= С х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Кб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690894" w:rsidRDefault="00690894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базовая ставка за пользование объектами муниципальной собственности;</w:t>
      </w:r>
    </w:p>
    <w:p w:rsidR="00690894" w:rsidRDefault="00690894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 площади передаваемых в аренду объектов муниципальной собственности;</w:t>
      </w:r>
    </w:p>
    <w:p w:rsidR="00690894" w:rsidRDefault="00690894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расположение в здании помещений, сдаваемых в аренду, определяемый по таблице:</w:t>
      </w:r>
    </w:p>
    <w:p w:rsidR="004B6A9B" w:rsidRPr="00690894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656"/>
        <w:gridCol w:w="2126"/>
      </w:tblGrid>
      <w:tr w:rsidR="00690894" w:rsidTr="004B6A9B">
        <w:tc>
          <w:tcPr>
            <w:tcW w:w="0" w:type="auto"/>
          </w:tcPr>
          <w:p w:rsidR="00690894" w:rsidRDefault="00690894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894" w:rsidRDefault="00690894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6" w:type="dxa"/>
          </w:tcPr>
          <w:p w:rsidR="00690894" w:rsidRDefault="00690894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муниципального нежилого помещения</w:t>
            </w:r>
          </w:p>
        </w:tc>
        <w:tc>
          <w:tcPr>
            <w:tcW w:w="2126" w:type="dxa"/>
          </w:tcPr>
          <w:p w:rsidR="00690894" w:rsidRDefault="004B6A9B" w:rsidP="004B6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Коэффициент</w:t>
            </w:r>
          </w:p>
        </w:tc>
      </w:tr>
      <w:tr w:rsidR="00690894" w:rsidTr="004B6A9B">
        <w:tc>
          <w:tcPr>
            <w:tcW w:w="0" w:type="auto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</w:tcPr>
          <w:p w:rsidR="00690894" w:rsidRDefault="004B6A9B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126" w:type="dxa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90894" w:rsidTr="004B6A9B">
        <w:tc>
          <w:tcPr>
            <w:tcW w:w="0" w:type="auto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</w:tcPr>
          <w:p w:rsidR="00690894" w:rsidRDefault="004B6A9B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Полуподвал (цоколь)</w:t>
            </w:r>
          </w:p>
        </w:tc>
        <w:tc>
          <w:tcPr>
            <w:tcW w:w="2126" w:type="dxa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0894" w:rsidTr="004B6A9B">
        <w:tc>
          <w:tcPr>
            <w:tcW w:w="0" w:type="auto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</w:tcPr>
          <w:p w:rsidR="00690894" w:rsidRDefault="004B6A9B" w:rsidP="00576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Наземная часть здания</w:t>
            </w:r>
          </w:p>
        </w:tc>
        <w:tc>
          <w:tcPr>
            <w:tcW w:w="2126" w:type="dxa"/>
          </w:tcPr>
          <w:p w:rsidR="00690894" w:rsidRDefault="004B6A9B" w:rsidP="004B6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90894" w:rsidRDefault="00690894" w:rsidP="00576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 – коэффициент, учитывающий степень обустройства объекта аренды, принимается исходя из наличия следующих элементов (систем, коммуникаций):</w:t>
      </w: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электроснабжение;</w:t>
      </w: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водоснабжение;</w:t>
      </w: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отопление;</w:t>
      </w: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канализация.</w:t>
      </w:r>
    </w:p>
    <w:p w:rsidR="004B6A9B" w:rsidRDefault="004B6A9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всех элементов обустройства данный коэффициент равен 1,2, при отсутствии</w:t>
      </w:r>
      <w:r w:rsidR="007F5825">
        <w:rPr>
          <w:rFonts w:ascii="Times New Roman" w:hAnsi="Times New Roman" w:cs="Times New Roman"/>
          <w:sz w:val="24"/>
          <w:szCs w:val="24"/>
        </w:rPr>
        <w:t xml:space="preserve"> какого-либо элемента данный коэффициент снижается на 0,1 за каждый отсутствующий элемент обустройства.</w:t>
      </w: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деятельности арендатора, осуществляемый в арендуемом объекте муниципальной собственности, устанавливаемый в размере:</w:t>
      </w: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0,1 для муниципальных учреждений;</w:t>
      </w: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 для производства и образовательные цели;</w:t>
      </w: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0,8 для органов государственной власти, муниципальных унитарных предприятий;</w:t>
      </w:r>
    </w:p>
    <w:p w:rsidR="007F5825" w:rsidRDefault="007F5825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1,0 для учреждений, финансируемых из краевого и федерального бюджетов</w:t>
      </w:r>
      <w:r w:rsidR="00062E67">
        <w:rPr>
          <w:rFonts w:ascii="Times New Roman" w:hAnsi="Times New Roman" w:cs="Times New Roman"/>
          <w:sz w:val="24"/>
          <w:szCs w:val="24"/>
        </w:rPr>
        <w:t xml:space="preserve"> и внебюджетных фондов;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1,3 для строительных организаций и кооперативов;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1,4 для предприятий автотранспорта;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1,9 для салонов красоты, косметических кабинетов, аудиторских фирм;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2,0 для арендаторов, организующих общественное питание и продажу продовольственных товаров в учреждениях здравоохранения;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2,2 для рекламных агентств, нотариусов, туристических, охранных фирм;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2,3 для предприятий связи;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2,5 для организаций торговли промышленными и продовольственными товарами и фармацептическими препаратами;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2,8 для кафе, ресторанов, закусочных;</w:t>
      </w:r>
    </w:p>
    <w:p w:rsidR="00062E67" w:rsidRDefault="00062E67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3,5 для банков, кредитных учреждений, пунктов обмена </w:t>
      </w:r>
      <w:r w:rsidR="00BA60AB">
        <w:rPr>
          <w:rFonts w:ascii="Times New Roman" w:hAnsi="Times New Roman" w:cs="Times New Roman"/>
          <w:sz w:val="24"/>
          <w:szCs w:val="24"/>
        </w:rPr>
        <w:t>валюты.</w:t>
      </w:r>
    </w:p>
    <w:p w:rsidR="00BA60AB" w:rsidRDefault="00BA60A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в арендуемом объекте муниципальной собственности осуществляется несколько видов деятельности, которым в соответствии с настоящей Методикой соответствуют разные величины коэффициента, зависящего от вида деятельности арендатора, то применяется коэффициент большей величины.</w:t>
      </w:r>
    </w:p>
    <w:p w:rsidR="00BA60AB" w:rsidRDefault="00BA60AB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Коэффициент, зависящий от вида деятельности арендатора, не вошедший в данный перечень,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-2.</w:t>
      </w:r>
    </w:p>
    <w:p w:rsidR="00EC6162" w:rsidRDefault="00EC6162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проведения торгов на право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договоров аренды объектов права собственности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 арендной платы определяется до проведения торгов в соответствии с заключением независимого оценщика о рыночной величине арендной платы, указанной в отчете об оценке рыночной стоимости объектов, и является начальной (минимальной) ценой лота.</w:t>
      </w:r>
    </w:p>
    <w:p w:rsidR="00EC6162" w:rsidRPr="00690894" w:rsidRDefault="00EC6162" w:rsidP="00576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Арендная плата не включает в себя коммунальные платежи, а также расходы, связанные с содержанием и эксплуатацией арендуемого объекта муниципальной собственности.</w:t>
      </w:r>
    </w:p>
    <w:sectPr w:rsidR="00EC6162" w:rsidRPr="00690894" w:rsidSect="0031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782"/>
    <w:rsid w:val="00062E67"/>
    <w:rsid w:val="00317341"/>
    <w:rsid w:val="0044331F"/>
    <w:rsid w:val="004B6A9B"/>
    <w:rsid w:val="005767CD"/>
    <w:rsid w:val="006657B4"/>
    <w:rsid w:val="00690894"/>
    <w:rsid w:val="007F5825"/>
    <w:rsid w:val="008057D9"/>
    <w:rsid w:val="00837BEF"/>
    <w:rsid w:val="008903B6"/>
    <w:rsid w:val="008B2F66"/>
    <w:rsid w:val="009756AD"/>
    <w:rsid w:val="00BA60AB"/>
    <w:rsid w:val="00C41579"/>
    <w:rsid w:val="00D529BB"/>
    <w:rsid w:val="00E038BD"/>
    <w:rsid w:val="00E11782"/>
    <w:rsid w:val="00E559E5"/>
    <w:rsid w:val="00EA68EB"/>
    <w:rsid w:val="00EC6162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82"/>
    <w:pPr>
      <w:spacing w:after="0" w:line="240" w:lineRule="auto"/>
    </w:pPr>
  </w:style>
  <w:style w:type="table" w:styleId="a4">
    <w:name w:val="Table Grid"/>
    <w:basedOn w:val="a1"/>
    <w:uiPriority w:val="59"/>
    <w:rsid w:val="0069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2013-12-10T05:02:00Z</cp:lastPrinted>
  <dcterms:created xsi:type="dcterms:W3CDTF">2013-12-09T08:10:00Z</dcterms:created>
  <dcterms:modified xsi:type="dcterms:W3CDTF">2013-12-12T03:17:00Z</dcterms:modified>
</cp:coreProperties>
</file>